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13" w:rsidRDefault="00106213" w:rsidP="00106213"/>
    <w:p w:rsidR="00106213" w:rsidRDefault="00106213" w:rsidP="00106213">
      <w:pPr>
        <w:rPr>
          <w:rFonts w:ascii="Verdana" w:hAnsi="Verdana"/>
          <w:sz w:val="72"/>
          <w:szCs w:val="72"/>
        </w:rPr>
      </w:pPr>
    </w:p>
    <w:p w:rsidR="00106213" w:rsidRPr="00AB3690" w:rsidRDefault="006A317D" w:rsidP="006A317D">
      <w:pPr>
        <w:pStyle w:val="Tittel"/>
        <w:tabs>
          <w:tab w:val="left" w:pos="5028"/>
        </w:tabs>
        <w:rPr>
          <w:sz w:val="60"/>
          <w:szCs w:val="60"/>
        </w:rPr>
      </w:pPr>
      <w:r>
        <w:rPr>
          <w:sz w:val="60"/>
          <w:szCs w:val="60"/>
        </w:rPr>
        <w:tab/>
      </w:r>
    </w:p>
    <w:p w:rsidR="00106213" w:rsidRDefault="00106213" w:rsidP="00106213">
      <w:pPr>
        <w:pStyle w:val="Undertittel"/>
      </w:pPr>
      <w:r>
        <w:t xml:space="preserve">REGLEMENT FOR </w:t>
      </w:r>
      <w:r w:rsidR="005F16C1">
        <w:t>NEDSKRIVING AV TAP</w:t>
      </w:r>
    </w:p>
    <w:p w:rsidR="00106213" w:rsidRPr="00106213" w:rsidRDefault="00106213" w:rsidP="00106213">
      <w:pPr>
        <w:pStyle w:val="Undertittel"/>
        <w:rPr>
          <w:sz w:val="24"/>
          <w:szCs w:val="24"/>
        </w:rPr>
      </w:pPr>
      <w:r w:rsidRPr="00106213">
        <w:rPr>
          <w:sz w:val="24"/>
          <w:szCs w:val="24"/>
        </w:rPr>
        <w:t xml:space="preserve">Økonomireglementet del </w:t>
      </w:r>
      <w:r w:rsidR="00EA4A03">
        <w:rPr>
          <w:sz w:val="24"/>
          <w:szCs w:val="24"/>
        </w:rPr>
        <w:t>9</w:t>
      </w:r>
    </w:p>
    <w:p w:rsidR="00106213" w:rsidRPr="005A530A" w:rsidRDefault="00106213" w:rsidP="00106213"/>
    <w:p w:rsidR="00106213" w:rsidRDefault="00106213" w:rsidP="00106213">
      <w:pPr>
        <w:rPr>
          <w:noProof/>
        </w:rPr>
      </w:pPr>
    </w:p>
    <w:p w:rsidR="00AB1FEF" w:rsidRDefault="00AB1FEF" w:rsidP="00106213">
      <w:pPr>
        <w:rPr>
          <w:noProof/>
        </w:rPr>
      </w:pPr>
    </w:p>
    <w:p w:rsidR="00AB1FEF" w:rsidRDefault="00AB1FEF" w:rsidP="00106213">
      <w:pPr>
        <w:rPr>
          <w:noProof/>
        </w:rPr>
      </w:pPr>
    </w:p>
    <w:p w:rsidR="00AB1FEF" w:rsidRDefault="00AB1FEF" w:rsidP="00106213">
      <w:pPr>
        <w:rPr>
          <w:noProof/>
        </w:rPr>
      </w:pPr>
    </w:p>
    <w:p w:rsidR="00106213" w:rsidRDefault="00106213" w:rsidP="00106213">
      <w:pPr>
        <w:rPr>
          <w:noProof/>
        </w:rPr>
      </w:pPr>
      <w:r>
        <w:rPr>
          <w:noProof/>
        </w:rPr>
        <w:drawing>
          <wp:inline distT="0" distB="0" distL="0" distR="0" wp14:anchorId="08E22BAD" wp14:editId="67B2519B">
            <wp:extent cx="5760720" cy="4076065"/>
            <wp:effectExtent l="0" t="0" r="0" b="63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stahaug_sirklene med foto_s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DD0" w:rsidRDefault="00C44C5B" w:rsidP="00106213">
      <w:pPr>
        <w:rPr>
          <w:b/>
        </w:rPr>
      </w:pPr>
      <w:bookmarkStart w:id="0" w:name="_GoBack"/>
      <w:r>
        <w:rPr>
          <w:b/>
        </w:rPr>
        <w:t>Vedtatt av kommunestyret 17.02.21 – sak 2/21</w:t>
      </w:r>
    </w:p>
    <w:p w:rsidR="00EC59CC" w:rsidRDefault="00EC59CC">
      <w:pPr>
        <w:spacing w:after="160" w:line="259" w:lineRule="auto"/>
        <w:rPr>
          <w:rFonts w:ascii="Verdana" w:hAnsi="Verdana"/>
          <w:color w:val="FA8000"/>
          <w:sz w:val="32"/>
          <w:szCs w:val="32"/>
        </w:rPr>
      </w:pPr>
      <w:bookmarkStart w:id="1" w:name="_Toc39361515"/>
      <w:bookmarkStart w:id="2" w:name="_Toc55306553"/>
      <w:bookmarkEnd w:id="0"/>
      <w:r>
        <w:rPr>
          <w:sz w:val="32"/>
          <w:szCs w:val="32"/>
        </w:rPr>
        <w:br w:type="page"/>
      </w:r>
    </w:p>
    <w:p w:rsidR="00D954F1" w:rsidRDefault="003D1F21" w:rsidP="00EC59CC">
      <w:pPr>
        <w:pStyle w:val="Undertittel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sdt>
      <w:sdtPr>
        <w:rPr>
          <w:rFonts w:ascii="Times New Roman" w:eastAsiaTheme="minorHAnsi" w:hAnsi="Times New Roman" w:cs="Times New Roman"/>
          <w:bCs w:val="0"/>
          <w:color w:val="auto"/>
          <w:spacing w:val="0"/>
          <w:sz w:val="20"/>
          <w:szCs w:val="20"/>
        </w:rPr>
        <w:id w:val="-242180091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D954F1" w:rsidRPr="008C477A" w:rsidRDefault="00D954F1">
          <w:pPr>
            <w:pStyle w:val="Overskriftforinnholdsfortegnelse"/>
            <w:rPr>
              <w:rStyle w:val="SterktsitatTegn"/>
              <w:rFonts w:ascii="Verdana" w:hAnsi="Verdana"/>
              <w:i w:val="0"/>
              <w:color w:val="ED7D31" w:themeColor="accent2"/>
              <w:sz w:val="32"/>
              <w:szCs w:val="32"/>
            </w:rPr>
          </w:pPr>
          <w:r w:rsidRPr="008C477A">
            <w:rPr>
              <w:rStyle w:val="SterktsitatTegn"/>
              <w:rFonts w:ascii="Verdana" w:hAnsi="Verdana"/>
              <w:i w:val="0"/>
              <w:color w:val="ED7D31" w:themeColor="accent2"/>
              <w:sz w:val="32"/>
              <w:szCs w:val="32"/>
            </w:rPr>
            <w:t>Innholdsfortegnelse</w:t>
          </w:r>
        </w:p>
        <w:p w:rsidR="009C476B" w:rsidRDefault="00D954F1">
          <w:pPr>
            <w:pStyle w:val="INNH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r w:rsidRPr="009C476B">
            <w:rPr>
              <w:sz w:val="20"/>
              <w:szCs w:val="20"/>
            </w:rPr>
            <w:fldChar w:fldCharType="begin"/>
          </w:r>
          <w:r w:rsidRPr="009C476B">
            <w:rPr>
              <w:sz w:val="20"/>
              <w:szCs w:val="20"/>
            </w:rPr>
            <w:instrText xml:space="preserve"> TOC \o "1-3" \h \z \u </w:instrText>
          </w:r>
          <w:r w:rsidRPr="009C476B">
            <w:rPr>
              <w:sz w:val="20"/>
              <w:szCs w:val="20"/>
            </w:rPr>
            <w:fldChar w:fldCharType="separate"/>
          </w:r>
          <w:hyperlink w:anchor="_Toc58936274" w:history="1">
            <w:r w:rsidR="009C476B" w:rsidRPr="00826A4A">
              <w:rPr>
                <w:rStyle w:val="Hyperkobling"/>
              </w:rPr>
              <w:t>Innledning og bakgrunn</w:t>
            </w:r>
            <w:r w:rsidR="009C476B">
              <w:rPr>
                <w:webHidden/>
              </w:rPr>
              <w:tab/>
            </w:r>
            <w:r w:rsidR="009C476B">
              <w:rPr>
                <w:webHidden/>
              </w:rPr>
              <w:fldChar w:fldCharType="begin"/>
            </w:r>
            <w:r w:rsidR="009C476B">
              <w:rPr>
                <w:webHidden/>
              </w:rPr>
              <w:instrText xml:space="preserve"> PAGEREF _Toc58936274 \h </w:instrText>
            </w:r>
            <w:r w:rsidR="009C476B">
              <w:rPr>
                <w:webHidden/>
              </w:rPr>
            </w:r>
            <w:r w:rsidR="009C476B">
              <w:rPr>
                <w:webHidden/>
              </w:rPr>
              <w:fldChar w:fldCharType="separate"/>
            </w:r>
            <w:r w:rsidR="008C477A">
              <w:rPr>
                <w:webHidden/>
              </w:rPr>
              <w:t>3</w:t>
            </w:r>
            <w:r w:rsidR="009C476B">
              <w:rPr>
                <w:webHidden/>
              </w:rPr>
              <w:fldChar w:fldCharType="end"/>
            </w:r>
          </w:hyperlink>
        </w:p>
        <w:p w:rsidR="009C476B" w:rsidRDefault="005667D3">
          <w:pPr>
            <w:pStyle w:val="INNH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58936275" w:history="1">
            <w:r w:rsidR="009C476B" w:rsidRPr="00826A4A">
              <w:rPr>
                <w:rStyle w:val="Hyperkobling"/>
              </w:rPr>
              <w:t>Forutsetninger for avskriving av kortsiktige fordringer</w:t>
            </w:r>
            <w:r w:rsidR="009C476B">
              <w:rPr>
                <w:webHidden/>
              </w:rPr>
              <w:tab/>
            </w:r>
            <w:r w:rsidR="009C476B">
              <w:rPr>
                <w:webHidden/>
              </w:rPr>
              <w:fldChar w:fldCharType="begin"/>
            </w:r>
            <w:r w:rsidR="009C476B">
              <w:rPr>
                <w:webHidden/>
              </w:rPr>
              <w:instrText xml:space="preserve"> PAGEREF _Toc58936275 \h </w:instrText>
            </w:r>
            <w:r w:rsidR="009C476B">
              <w:rPr>
                <w:webHidden/>
              </w:rPr>
            </w:r>
            <w:r w:rsidR="009C476B">
              <w:rPr>
                <w:webHidden/>
              </w:rPr>
              <w:fldChar w:fldCharType="separate"/>
            </w:r>
            <w:r w:rsidR="008C477A">
              <w:rPr>
                <w:webHidden/>
              </w:rPr>
              <w:t>3</w:t>
            </w:r>
            <w:r w:rsidR="009C476B">
              <w:rPr>
                <w:webHidden/>
              </w:rPr>
              <w:fldChar w:fldCharType="end"/>
            </w:r>
          </w:hyperlink>
        </w:p>
        <w:p w:rsidR="009C476B" w:rsidRDefault="005667D3">
          <w:pPr>
            <w:pStyle w:val="INNH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58936276" w:history="1">
            <w:r w:rsidR="009C476B" w:rsidRPr="00826A4A">
              <w:rPr>
                <w:rStyle w:val="Hyperkobling"/>
              </w:rPr>
              <w:t>Forutsetning for avskrivning av videreutlån</w:t>
            </w:r>
            <w:r w:rsidR="009C476B">
              <w:rPr>
                <w:webHidden/>
              </w:rPr>
              <w:tab/>
            </w:r>
            <w:r w:rsidR="009C476B">
              <w:rPr>
                <w:webHidden/>
              </w:rPr>
              <w:fldChar w:fldCharType="begin"/>
            </w:r>
            <w:r w:rsidR="009C476B">
              <w:rPr>
                <w:webHidden/>
              </w:rPr>
              <w:instrText xml:space="preserve"> PAGEREF _Toc58936276 \h </w:instrText>
            </w:r>
            <w:r w:rsidR="009C476B">
              <w:rPr>
                <w:webHidden/>
              </w:rPr>
            </w:r>
            <w:r w:rsidR="009C476B">
              <w:rPr>
                <w:webHidden/>
              </w:rPr>
              <w:fldChar w:fldCharType="separate"/>
            </w:r>
            <w:r w:rsidR="008C477A">
              <w:rPr>
                <w:webHidden/>
              </w:rPr>
              <w:t>3</w:t>
            </w:r>
            <w:r w:rsidR="009C476B">
              <w:rPr>
                <w:webHidden/>
              </w:rPr>
              <w:fldChar w:fldCharType="end"/>
            </w:r>
          </w:hyperlink>
        </w:p>
        <w:p w:rsidR="009C476B" w:rsidRDefault="005667D3">
          <w:pPr>
            <w:pStyle w:val="INNH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58936277" w:history="1">
            <w:r w:rsidR="009C476B" w:rsidRPr="00826A4A">
              <w:rPr>
                <w:rStyle w:val="Hyperkobling"/>
              </w:rPr>
              <w:t>Regler for saker som kan avskrives før tyngre innfordring iverksettes</w:t>
            </w:r>
            <w:r w:rsidR="009C476B">
              <w:rPr>
                <w:webHidden/>
              </w:rPr>
              <w:tab/>
            </w:r>
            <w:r w:rsidR="009C476B">
              <w:rPr>
                <w:webHidden/>
              </w:rPr>
              <w:fldChar w:fldCharType="begin"/>
            </w:r>
            <w:r w:rsidR="009C476B">
              <w:rPr>
                <w:webHidden/>
              </w:rPr>
              <w:instrText xml:space="preserve"> PAGEREF _Toc58936277 \h </w:instrText>
            </w:r>
            <w:r w:rsidR="009C476B">
              <w:rPr>
                <w:webHidden/>
              </w:rPr>
            </w:r>
            <w:r w:rsidR="009C476B">
              <w:rPr>
                <w:webHidden/>
              </w:rPr>
              <w:fldChar w:fldCharType="separate"/>
            </w:r>
            <w:r w:rsidR="008C477A">
              <w:rPr>
                <w:webHidden/>
              </w:rPr>
              <w:t>4</w:t>
            </w:r>
            <w:r w:rsidR="009C476B">
              <w:rPr>
                <w:webHidden/>
              </w:rPr>
              <w:fldChar w:fldCharType="end"/>
            </w:r>
          </w:hyperlink>
        </w:p>
        <w:p w:rsidR="009C476B" w:rsidRDefault="005667D3">
          <w:pPr>
            <w:pStyle w:val="INNH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58936278" w:history="1">
            <w:r w:rsidR="009C476B" w:rsidRPr="00826A4A">
              <w:rPr>
                <w:rStyle w:val="Hyperkobling"/>
              </w:rPr>
              <w:t>Regler for saker som kan avskrives etter innfordring</w:t>
            </w:r>
            <w:r w:rsidR="009C476B">
              <w:rPr>
                <w:webHidden/>
              </w:rPr>
              <w:tab/>
            </w:r>
            <w:r w:rsidR="009C476B">
              <w:rPr>
                <w:webHidden/>
              </w:rPr>
              <w:fldChar w:fldCharType="begin"/>
            </w:r>
            <w:r w:rsidR="009C476B">
              <w:rPr>
                <w:webHidden/>
              </w:rPr>
              <w:instrText xml:space="preserve"> PAGEREF _Toc58936278 \h </w:instrText>
            </w:r>
            <w:r w:rsidR="009C476B">
              <w:rPr>
                <w:webHidden/>
              </w:rPr>
            </w:r>
            <w:r w:rsidR="009C476B">
              <w:rPr>
                <w:webHidden/>
              </w:rPr>
              <w:fldChar w:fldCharType="separate"/>
            </w:r>
            <w:r w:rsidR="008C477A">
              <w:rPr>
                <w:webHidden/>
              </w:rPr>
              <w:t>4</w:t>
            </w:r>
            <w:r w:rsidR="009C476B">
              <w:rPr>
                <w:webHidden/>
              </w:rPr>
              <w:fldChar w:fldCharType="end"/>
            </w:r>
          </w:hyperlink>
        </w:p>
        <w:p w:rsidR="009C476B" w:rsidRDefault="005667D3">
          <w:pPr>
            <w:pStyle w:val="INNH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58936279" w:history="1">
            <w:r w:rsidR="009C476B" w:rsidRPr="00826A4A">
              <w:rPr>
                <w:rStyle w:val="Hyperkobling"/>
              </w:rPr>
              <w:t>Regelverk</w:t>
            </w:r>
            <w:r w:rsidR="009C476B">
              <w:rPr>
                <w:webHidden/>
              </w:rPr>
              <w:tab/>
            </w:r>
            <w:r w:rsidR="009C476B">
              <w:rPr>
                <w:webHidden/>
              </w:rPr>
              <w:fldChar w:fldCharType="begin"/>
            </w:r>
            <w:r w:rsidR="009C476B">
              <w:rPr>
                <w:webHidden/>
              </w:rPr>
              <w:instrText xml:space="preserve"> PAGEREF _Toc58936279 \h </w:instrText>
            </w:r>
            <w:r w:rsidR="009C476B">
              <w:rPr>
                <w:webHidden/>
              </w:rPr>
            </w:r>
            <w:r w:rsidR="009C476B">
              <w:rPr>
                <w:webHidden/>
              </w:rPr>
              <w:fldChar w:fldCharType="separate"/>
            </w:r>
            <w:r w:rsidR="008C477A">
              <w:rPr>
                <w:webHidden/>
              </w:rPr>
              <w:t>4</w:t>
            </w:r>
            <w:r w:rsidR="009C476B">
              <w:rPr>
                <w:webHidden/>
              </w:rPr>
              <w:fldChar w:fldCharType="end"/>
            </w:r>
          </w:hyperlink>
        </w:p>
        <w:p w:rsidR="009C476B" w:rsidRDefault="005667D3">
          <w:pPr>
            <w:pStyle w:val="INNH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58936280" w:history="1">
            <w:r w:rsidR="009C476B" w:rsidRPr="00826A4A">
              <w:rPr>
                <w:rStyle w:val="Hyperkobling"/>
              </w:rPr>
              <w:t>Myndighet til å gjennomføre nedskrivning av tap</w:t>
            </w:r>
            <w:r w:rsidR="009C476B">
              <w:rPr>
                <w:webHidden/>
              </w:rPr>
              <w:tab/>
            </w:r>
            <w:r w:rsidR="009C476B">
              <w:rPr>
                <w:webHidden/>
              </w:rPr>
              <w:fldChar w:fldCharType="begin"/>
            </w:r>
            <w:r w:rsidR="009C476B">
              <w:rPr>
                <w:webHidden/>
              </w:rPr>
              <w:instrText xml:space="preserve"> PAGEREF _Toc58936280 \h </w:instrText>
            </w:r>
            <w:r w:rsidR="009C476B">
              <w:rPr>
                <w:webHidden/>
              </w:rPr>
            </w:r>
            <w:r w:rsidR="009C476B">
              <w:rPr>
                <w:webHidden/>
              </w:rPr>
              <w:fldChar w:fldCharType="separate"/>
            </w:r>
            <w:r w:rsidR="008C477A">
              <w:rPr>
                <w:webHidden/>
              </w:rPr>
              <w:t>4</w:t>
            </w:r>
            <w:r w:rsidR="009C476B">
              <w:rPr>
                <w:webHidden/>
              </w:rPr>
              <w:fldChar w:fldCharType="end"/>
            </w:r>
          </w:hyperlink>
        </w:p>
        <w:p w:rsidR="009C476B" w:rsidRDefault="005667D3">
          <w:pPr>
            <w:pStyle w:val="INNH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58936281" w:history="1">
            <w:r w:rsidR="009C476B" w:rsidRPr="00826A4A">
              <w:rPr>
                <w:rStyle w:val="Hyperkobling"/>
              </w:rPr>
              <w:t>Betalingsutsettelse</w:t>
            </w:r>
            <w:r w:rsidR="009C476B">
              <w:rPr>
                <w:webHidden/>
              </w:rPr>
              <w:tab/>
            </w:r>
            <w:r w:rsidR="009C476B">
              <w:rPr>
                <w:webHidden/>
              </w:rPr>
              <w:fldChar w:fldCharType="begin"/>
            </w:r>
            <w:r w:rsidR="009C476B">
              <w:rPr>
                <w:webHidden/>
              </w:rPr>
              <w:instrText xml:space="preserve"> PAGEREF _Toc58936281 \h </w:instrText>
            </w:r>
            <w:r w:rsidR="009C476B">
              <w:rPr>
                <w:webHidden/>
              </w:rPr>
            </w:r>
            <w:r w:rsidR="009C476B">
              <w:rPr>
                <w:webHidden/>
              </w:rPr>
              <w:fldChar w:fldCharType="separate"/>
            </w:r>
            <w:r w:rsidR="008C477A">
              <w:rPr>
                <w:webHidden/>
              </w:rPr>
              <w:t>4</w:t>
            </w:r>
            <w:r w:rsidR="009C476B">
              <w:rPr>
                <w:webHidden/>
              </w:rPr>
              <w:fldChar w:fldCharType="end"/>
            </w:r>
          </w:hyperlink>
        </w:p>
        <w:p w:rsidR="00D954F1" w:rsidRPr="009C476B" w:rsidRDefault="00D954F1">
          <w:pPr>
            <w:rPr>
              <w:rFonts w:ascii="Verdana" w:hAnsi="Verdana"/>
              <w:sz w:val="20"/>
              <w:szCs w:val="20"/>
            </w:rPr>
          </w:pPr>
          <w:r w:rsidRPr="009C476B">
            <w:rPr>
              <w:rFonts w:ascii="Verdana" w:hAnsi="Verdana"/>
              <w:b/>
              <w:bCs/>
              <w:sz w:val="20"/>
              <w:szCs w:val="20"/>
            </w:rPr>
            <w:fldChar w:fldCharType="end"/>
          </w:r>
        </w:p>
      </w:sdtContent>
    </w:sdt>
    <w:p w:rsidR="00A078D8" w:rsidRPr="009C476B" w:rsidRDefault="00A078D8" w:rsidP="00EC59CC">
      <w:pPr>
        <w:pStyle w:val="Undertittel"/>
        <w:rPr>
          <w:sz w:val="20"/>
          <w:szCs w:val="20"/>
        </w:rPr>
      </w:pPr>
    </w:p>
    <w:p w:rsidR="00EC59CC" w:rsidRPr="009C476B" w:rsidRDefault="00EC59CC" w:rsidP="00EC59CC">
      <w:pPr>
        <w:pStyle w:val="Undertittel"/>
        <w:rPr>
          <w:sz w:val="20"/>
          <w:szCs w:val="20"/>
        </w:rPr>
      </w:pPr>
    </w:p>
    <w:p w:rsidR="00A078D8" w:rsidRPr="009C476B" w:rsidRDefault="00A078D8" w:rsidP="00A078D8">
      <w:pPr>
        <w:rPr>
          <w:rFonts w:ascii="Verdana" w:hAnsi="Verdana"/>
          <w:sz w:val="20"/>
          <w:szCs w:val="20"/>
        </w:rPr>
      </w:pPr>
    </w:p>
    <w:p w:rsidR="00A078D8" w:rsidRPr="009C476B" w:rsidRDefault="00A078D8" w:rsidP="00A078D8">
      <w:pPr>
        <w:rPr>
          <w:rFonts w:ascii="Verdana" w:hAnsi="Verdana"/>
          <w:sz w:val="20"/>
          <w:szCs w:val="20"/>
        </w:rPr>
      </w:pPr>
    </w:p>
    <w:p w:rsidR="00A078D8" w:rsidRPr="009C476B" w:rsidRDefault="00A078D8" w:rsidP="00A078D8">
      <w:pPr>
        <w:rPr>
          <w:rFonts w:ascii="Verdana" w:hAnsi="Verdana"/>
          <w:sz w:val="20"/>
          <w:szCs w:val="20"/>
        </w:rPr>
      </w:pPr>
    </w:p>
    <w:p w:rsidR="00A078D8" w:rsidRPr="009C476B" w:rsidRDefault="00A078D8" w:rsidP="00A078D8">
      <w:pPr>
        <w:rPr>
          <w:rFonts w:ascii="Verdana" w:hAnsi="Verdana"/>
          <w:sz w:val="20"/>
          <w:szCs w:val="20"/>
        </w:rPr>
      </w:pPr>
    </w:p>
    <w:p w:rsidR="00A078D8" w:rsidRPr="009C476B" w:rsidRDefault="00A078D8" w:rsidP="00A078D8">
      <w:pPr>
        <w:rPr>
          <w:rFonts w:ascii="Verdana" w:hAnsi="Verdana"/>
          <w:sz w:val="20"/>
          <w:szCs w:val="20"/>
        </w:rPr>
      </w:pPr>
    </w:p>
    <w:p w:rsidR="00A078D8" w:rsidRPr="009C476B" w:rsidRDefault="00A078D8" w:rsidP="00A078D8">
      <w:pPr>
        <w:rPr>
          <w:rFonts w:ascii="Verdana" w:hAnsi="Verdana"/>
          <w:sz w:val="20"/>
          <w:szCs w:val="20"/>
        </w:rPr>
      </w:pPr>
    </w:p>
    <w:p w:rsidR="00A078D8" w:rsidRPr="009C476B" w:rsidRDefault="00A078D8" w:rsidP="00A078D8">
      <w:pPr>
        <w:rPr>
          <w:rFonts w:ascii="Verdana" w:hAnsi="Verdana"/>
          <w:sz w:val="20"/>
          <w:szCs w:val="20"/>
        </w:rPr>
      </w:pPr>
    </w:p>
    <w:p w:rsidR="00A078D8" w:rsidRPr="009C476B" w:rsidRDefault="00A078D8" w:rsidP="00A078D8">
      <w:pPr>
        <w:rPr>
          <w:rFonts w:ascii="Verdana" w:hAnsi="Verdana"/>
          <w:sz w:val="20"/>
          <w:szCs w:val="20"/>
        </w:rPr>
      </w:pPr>
    </w:p>
    <w:p w:rsidR="00A078D8" w:rsidRPr="009C476B" w:rsidRDefault="00A078D8" w:rsidP="00A078D8">
      <w:pPr>
        <w:rPr>
          <w:rFonts w:ascii="Verdana" w:hAnsi="Verdana"/>
          <w:sz w:val="20"/>
          <w:szCs w:val="20"/>
        </w:rPr>
      </w:pPr>
    </w:p>
    <w:p w:rsidR="00A078D8" w:rsidRPr="009C476B" w:rsidRDefault="00A078D8" w:rsidP="00A078D8">
      <w:pPr>
        <w:rPr>
          <w:rFonts w:ascii="Verdana" w:hAnsi="Verdana"/>
          <w:sz w:val="20"/>
          <w:szCs w:val="20"/>
        </w:rPr>
      </w:pPr>
    </w:p>
    <w:p w:rsidR="00A078D8" w:rsidRPr="009C476B" w:rsidRDefault="00A078D8" w:rsidP="00A078D8">
      <w:pPr>
        <w:rPr>
          <w:rFonts w:ascii="Verdana" w:hAnsi="Verdana"/>
          <w:sz w:val="20"/>
          <w:szCs w:val="20"/>
        </w:rPr>
      </w:pPr>
    </w:p>
    <w:p w:rsidR="00A078D8" w:rsidRPr="009C476B" w:rsidRDefault="00A078D8" w:rsidP="00A078D8">
      <w:pPr>
        <w:rPr>
          <w:rFonts w:ascii="Verdana" w:hAnsi="Verdana"/>
          <w:sz w:val="20"/>
          <w:szCs w:val="20"/>
        </w:rPr>
      </w:pPr>
    </w:p>
    <w:p w:rsidR="00A078D8" w:rsidRPr="009C476B" w:rsidRDefault="00A078D8" w:rsidP="00A078D8">
      <w:pPr>
        <w:rPr>
          <w:rFonts w:ascii="Verdana" w:hAnsi="Verdana"/>
          <w:sz w:val="20"/>
          <w:szCs w:val="20"/>
        </w:rPr>
      </w:pPr>
    </w:p>
    <w:p w:rsidR="00A078D8" w:rsidRPr="009C476B" w:rsidRDefault="00A078D8" w:rsidP="00A078D8">
      <w:pPr>
        <w:rPr>
          <w:rFonts w:ascii="Verdana" w:hAnsi="Verdana"/>
          <w:sz w:val="20"/>
          <w:szCs w:val="20"/>
        </w:rPr>
      </w:pPr>
    </w:p>
    <w:p w:rsidR="009C476B" w:rsidRDefault="009C476B">
      <w:pPr>
        <w:spacing w:after="160" w:line="259" w:lineRule="auto"/>
        <w:rPr>
          <w:rFonts w:ascii="Verdana" w:eastAsiaTheme="majorEastAsia" w:hAnsi="Verdana" w:cstheme="majorBidi"/>
          <w:color w:val="2E74B5" w:themeColor="accent1" w:themeShade="BF"/>
          <w:sz w:val="20"/>
          <w:szCs w:val="20"/>
        </w:rPr>
      </w:pPr>
      <w:bookmarkStart w:id="3" w:name="_Toc58936274"/>
      <w:r>
        <w:rPr>
          <w:rFonts w:ascii="Verdana" w:hAnsi="Verdana"/>
          <w:sz w:val="20"/>
          <w:szCs w:val="20"/>
        </w:rPr>
        <w:br w:type="page"/>
      </w:r>
    </w:p>
    <w:p w:rsidR="00E704F4" w:rsidRPr="008C477A" w:rsidRDefault="00E704F4" w:rsidP="008C477A">
      <w:pPr>
        <w:pStyle w:val="Undertittel"/>
        <w:spacing w:after="0"/>
        <w:rPr>
          <w:b/>
          <w:sz w:val="24"/>
          <w:szCs w:val="24"/>
        </w:rPr>
      </w:pPr>
      <w:r w:rsidRPr="008C477A">
        <w:rPr>
          <w:b/>
          <w:sz w:val="24"/>
          <w:szCs w:val="24"/>
        </w:rPr>
        <w:lastRenderedPageBreak/>
        <w:t>Innledning og bakgrunn</w:t>
      </w:r>
      <w:bookmarkEnd w:id="3"/>
    </w:p>
    <w:p w:rsidR="00E704F4" w:rsidRPr="009C476B" w:rsidRDefault="00E704F4" w:rsidP="008C477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 xml:space="preserve">Med fordringer menes her krav på vederlag oppstått som følge av kommunens salg av varer, tjenester og anleggsmidler på kreditt. Kredittsalget inntektsføres når dette er kjent i samsvar med anordningsprinsippet og det balanseføres som kortsiktig fordring (omløpsmiddel). I samsvar med </w:t>
      </w:r>
      <w:hyperlink r:id="rId8" w:history="1">
        <w:r w:rsidRPr="009C476B">
          <w:rPr>
            <w:rStyle w:val="Hyperkobling"/>
            <w:rFonts w:ascii="Verdana" w:hAnsi="Verdana"/>
            <w:sz w:val="20"/>
            <w:szCs w:val="20"/>
          </w:rPr>
          <w:t>regnskapsforskriften § 3-3, 1</w:t>
        </w:r>
      </w:hyperlink>
      <w:r w:rsidRPr="009C476B">
        <w:rPr>
          <w:rFonts w:ascii="Verdana" w:hAnsi="Verdana"/>
          <w:sz w:val="20"/>
          <w:szCs w:val="20"/>
        </w:rPr>
        <w:t>. ledd skal fordringen nedskrives til virkelig verdi dersom denne er lavere enn anskaffelseskost (pålydende).</w:t>
      </w:r>
    </w:p>
    <w:p w:rsidR="00E704F4" w:rsidRPr="009C476B" w:rsidRDefault="00E704F4" w:rsidP="008C477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E704F4" w:rsidRPr="009C476B" w:rsidRDefault="00E704F4" w:rsidP="008C477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>For å finne det sannsynlige eller forventede tapet, fordrer det en årlig gjennomgang av fordringsmassen i balanseregnskapet.</w:t>
      </w:r>
    </w:p>
    <w:p w:rsidR="00E704F4" w:rsidRPr="009C476B" w:rsidRDefault="00E704F4" w:rsidP="008C477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E704F4" w:rsidRPr="009C476B" w:rsidRDefault="00E704F4" w:rsidP="008C477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>Som for urealisert tap for finansielle omløpsmidler følger utgiftsføring av urealisert tap av forsiktighetsprinsippet. Regnskapsføringen av verdireduksjonen blir å anse som fremskutt i forhold til transaksjonstidspunktet.</w:t>
      </w:r>
    </w:p>
    <w:p w:rsidR="00E704F4" w:rsidRPr="009C476B" w:rsidRDefault="00E704F4" w:rsidP="008C477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E704F4" w:rsidRPr="009C476B" w:rsidRDefault="00E704F4" w:rsidP="008C477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>Når det gjelder avskrivning av kortsiktige fordringer, skal belastningen (tapet) føres i den enhet inntekten tidligere er inntektsført og på en egen utgiftsart.</w:t>
      </w:r>
    </w:p>
    <w:p w:rsidR="00E704F4" w:rsidRPr="009C476B" w:rsidRDefault="00E704F4" w:rsidP="008C477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E704F4" w:rsidRPr="009C476B" w:rsidRDefault="00E704F4" w:rsidP="008C477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>I begrepet avskrivning ligger at man regnskapsmessig avskriver beløpet, men at</w:t>
      </w:r>
      <w:r w:rsidR="003D1F21" w:rsidRPr="009C476B">
        <w:rPr>
          <w:rFonts w:ascii="Verdana" w:hAnsi="Verdana"/>
          <w:sz w:val="20"/>
          <w:szCs w:val="20"/>
        </w:rPr>
        <w:t xml:space="preserve"> </w:t>
      </w:r>
      <w:r w:rsidRPr="009C476B">
        <w:rPr>
          <w:rFonts w:ascii="Verdana" w:hAnsi="Verdana"/>
          <w:sz w:val="20"/>
          <w:szCs w:val="20"/>
        </w:rPr>
        <w:t>innfordringen ikke avsluttes. Dette med henblikk på at debitors økonomiske situasjon kan endre seg over tid. Disse sakene vil bli overvåket av eksternt inkassobyrå.</w:t>
      </w:r>
    </w:p>
    <w:p w:rsidR="00E704F4" w:rsidRPr="009C476B" w:rsidRDefault="00E704F4" w:rsidP="008C477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E704F4" w:rsidRPr="009C476B" w:rsidRDefault="00E704F4" w:rsidP="008C477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 xml:space="preserve">Noen av kravene kan, og må man slette, eksempelvis ved gjeldsordning gjennom namsretten og der det synes helt klart at debitor er varig ute av stand til å betjene gjelden. Ved sletting avskrives beløpet og innfordringen avsluttes. </w:t>
      </w:r>
    </w:p>
    <w:p w:rsidR="00E704F4" w:rsidRPr="009C476B" w:rsidRDefault="00E704F4" w:rsidP="00E704F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  <w:u w:val="single"/>
        </w:rPr>
      </w:pPr>
    </w:p>
    <w:p w:rsidR="00E704F4" w:rsidRPr="008C477A" w:rsidRDefault="00E704F4" w:rsidP="008C477A">
      <w:pPr>
        <w:pStyle w:val="Undertittel"/>
        <w:spacing w:after="0"/>
        <w:rPr>
          <w:b/>
          <w:sz w:val="24"/>
        </w:rPr>
      </w:pPr>
      <w:bookmarkStart w:id="4" w:name="_Toc58936275"/>
      <w:r w:rsidRPr="008C477A">
        <w:rPr>
          <w:b/>
          <w:sz w:val="24"/>
        </w:rPr>
        <w:t>Forutsetninger for avskriving av kortsiktige fordringer</w:t>
      </w:r>
      <w:bookmarkEnd w:id="4"/>
    </w:p>
    <w:p w:rsidR="00E704F4" w:rsidRPr="009C476B" w:rsidRDefault="00E704F4" w:rsidP="008C477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>For at krav skal kunne konstateres som tapt og avskrives, må minst ett av følgende vilkår være oppfylt:</w:t>
      </w:r>
    </w:p>
    <w:p w:rsidR="00E704F4" w:rsidRPr="009C476B" w:rsidRDefault="00E704F4" w:rsidP="008C477A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>Utleggsforretning har ikke ført frem.</w:t>
      </w:r>
    </w:p>
    <w:p w:rsidR="00E704F4" w:rsidRPr="009C476B" w:rsidRDefault="00E704F4" w:rsidP="008C477A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>Debitors adresse er ukjent mer enn 1 år.</w:t>
      </w:r>
    </w:p>
    <w:p w:rsidR="00E704F4" w:rsidRPr="009C476B" w:rsidRDefault="00E704F4" w:rsidP="008C477A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>Det er sannsynlig at inkasso eller videre innfordringstiltak ikke vil føre frem.</w:t>
      </w:r>
    </w:p>
    <w:p w:rsidR="00E704F4" w:rsidRPr="009C476B" w:rsidRDefault="00E704F4" w:rsidP="008C477A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>Kommunen har ved avtale ettergitt gjeld, f.eks ved gjeldsforhandling eller konkurs.</w:t>
      </w:r>
    </w:p>
    <w:p w:rsidR="00E704F4" w:rsidRPr="009C476B" w:rsidRDefault="00E704F4" w:rsidP="008C477A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 xml:space="preserve">Kravet er tapt i henhold til rettskraftig dom. </w:t>
      </w:r>
    </w:p>
    <w:p w:rsidR="00E704F4" w:rsidRPr="009C476B" w:rsidRDefault="00E704F4" w:rsidP="008C477A">
      <w:pPr>
        <w:spacing w:after="0" w:line="259" w:lineRule="auto"/>
        <w:rPr>
          <w:rFonts w:ascii="Verdana" w:hAnsi="Verdana"/>
          <w:b/>
          <w:bCs/>
          <w:sz w:val="20"/>
          <w:szCs w:val="20"/>
          <w:u w:val="single"/>
        </w:rPr>
      </w:pPr>
    </w:p>
    <w:p w:rsidR="00E704F4" w:rsidRPr="008C477A" w:rsidRDefault="00E704F4" w:rsidP="008C477A">
      <w:pPr>
        <w:pStyle w:val="Undertittel"/>
        <w:spacing w:after="0"/>
        <w:rPr>
          <w:b/>
          <w:sz w:val="24"/>
        </w:rPr>
      </w:pPr>
      <w:bookmarkStart w:id="5" w:name="_Toc58936276"/>
      <w:r w:rsidRPr="008C477A">
        <w:rPr>
          <w:b/>
          <w:sz w:val="24"/>
        </w:rPr>
        <w:t>Forutsetning for avskrivning av videreutlån</w:t>
      </w:r>
      <w:bookmarkEnd w:id="5"/>
    </w:p>
    <w:p w:rsidR="00E704F4" w:rsidRPr="009C476B" w:rsidRDefault="00E704F4" w:rsidP="008C477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>Det er et overordna mål for kommunen at låntakerne så langt som mulig skal kunne beholde boligene sine. I de tilfellene tvangsinnfordring har vært forsøkt uten resultat, eller undersøkelser/oppsøk viser at det ikke er økonomisk betjeningsevne verken på kort eller lang sikt, anbefales avskriving/overvåking.</w:t>
      </w:r>
    </w:p>
    <w:p w:rsidR="00E704F4" w:rsidRPr="009C476B" w:rsidRDefault="00E704F4" w:rsidP="008C477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E704F4" w:rsidRPr="009C476B" w:rsidRDefault="00E704F4" w:rsidP="008C477A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0"/>
          <w:szCs w:val="20"/>
        </w:rPr>
      </w:pPr>
      <w:r w:rsidRPr="009C476B">
        <w:rPr>
          <w:rFonts w:ascii="Verdana" w:hAnsi="Verdana"/>
          <w:i/>
          <w:iCs/>
          <w:sz w:val="20"/>
          <w:szCs w:val="20"/>
        </w:rPr>
        <w:t>Konkurs, akkord</w:t>
      </w:r>
    </w:p>
    <w:p w:rsidR="00E704F4" w:rsidRPr="009C476B" w:rsidRDefault="00E704F4" w:rsidP="008C477A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>Når konkurs formelt er åpnet av skifteretten, skal normalt hele beløpet kommunen har</w:t>
      </w:r>
      <w:r w:rsidR="00EC59CC" w:rsidRPr="009C476B">
        <w:rPr>
          <w:rFonts w:ascii="Verdana" w:hAnsi="Verdana"/>
          <w:sz w:val="20"/>
          <w:szCs w:val="20"/>
        </w:rPr>
        <w:t xml:space="preserve"> </w:t>
      </w:r>
      <w:r w:rsidRPr="009C476B">
        <w:rPr>
          <w:rFonts w:ascii="Verdana" w:hAnsi="Verdana"/>
          <w:sz w:val="20"/>
          <w:szCs w:val="20"/>
        </w:rPr>
        <w:t>til</w:t>
      </w:r>
      <w:r w:rsidR="00EC59CC" w:rsidRPr="009C476B">
        <w:rPr>
          <w:rFonts w:ascii="Verdana" w:hAnsi="Verdana"/>
          <w:sz w:val="20"/>
          <w:szCs w:val="20"/>
        </w:rPr>
        <w:t xml:space="preserve"> </w:t>
      </w:r>
      <w:r w:rsidRPr="009C476B">
        <w:rPr>
          <w:rFonts w:ascii="Verdana" w:hAnsi="Verdana"/>
          <w:sz w:val="20"/>
          <w:szCs w:val="20"/>
        </w:rPr>
        <w:t>gode avskrives. Innfordringen av beløpet skal ikke stanses, men følges opp.</w:t>
      </w:r>
    </w:p>
    <w:p w:rsidR="00E704F4" w:rsidRPr="009C476B" w:rsidRDefault="00E704F4" w:rsidP="008C477A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0"/>
          <w:szCs w:val="20"/>
        </w:rPr>
      </w:pPr>
      <w:r w:rsidRPr="009C476B">
        <w:rPr>
          <w:rFonts w:ascii="Verdana" w:hAnsi="Verdana"/>
          <w:i/>
          <w:iCs/>
          <w:sz w:val="20"/>
          <w:szCs w:val="20"/>
        </w:rPr>
        <w:t>Foreldet</w:t>
      </w:r>
    </w:p>
    <w:p w:rsidR="00E704F4" w:rsidRPr="009C476B" w:rsidRDefault="00E704F4" w:rsidP="008C477A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>Straks et lån eller en restanse er foreldet skal den avskrives og slettes. Dersom sak ikke er forsøkt innfordret, skal dette begrunnes.</w:t>
      </w:r>
    </w:p>
    <w:p w:rsidR="00E704F4" w:rsidRPr="009C476B" w:rsidRDefault="00E704F4" w:rsidP="008C477A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i/>
          <w:sz w:val="20"/>
          <w:szCs w:val="20"/>
        </w:rPr>
        <w:t>Gjeldsforhandling</w:t>
      </w:r>
    </w:p>
    <w:p w:rsidR="00E704F4" w:rsidRPr="009C476B" w:rsidRDefault="00EC59CC" w:rsidP="008C477A">
      <w:pPr>
        <w:pStyle w:val="Listeavsnitt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 xml:space="preserve">I lånesaker </w:t>
      </w:r>
      <w:r w:rsidR="00E704F4" w:rsidRPr="009C476B">
        <w:rPr>
          <w:rFonts w:ascii="Verdana" w:hAnsi="Verdana"/>
          <w:sz w:val="20"/>
          <w:szCs w:val="20"/>
        </w:rPr>
        <w:t>der det er innledet gjeldsforhandling ved namsrett, skal avskrivning skje når forhandlingene er avslutta og resultatet er klart.</w:t>
      </w:r>
      <w:r w:rsidRPr="009C476B">
        <w:rPr>
          <w:rFonts w:ascii="Verdana" w:hAnsi="Verdana"/>
          <w:sz w:val="20"/>
          <w:szCs w:val="20"/>
        </w:rPr>
        <w:t xml:space="preserve"> </w:t>
      </w:r>
      <w:r w:rsidR="00E704F4" w:rsidRPr="009C476B">
        <w:rPr>
          <w:rFonts w:ascii="Verdana" w:hAnsi="Verdana"/>
          <w:sz w:val="20"/>
          <w:szCs w:val="20"/>
        </w:rPr>
        <w:t>Der dividende godkjennes, skal alle kreditorer være omfattet av betalingsordningen.</w:t>
      </w:r>
    </w:p>
    <w:p w:rsidR="00E704F4" w:rsidRPr="009C476B" w:rsidRDefault="00E704F4" w:rsidP="008C477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E704F4" w:rsidRPr="009C476B" w:rsidRDefault="00E704F4" w:rsidP="00E704F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>Det kan likevel avskrives lån uten foregående inkasso i visse typer saker der økonomisk</w:t>
      </w:r>
      <w:r w:rsidR="00EC59CC" w:rsidRPr="009C476B">
        <w:rPr>
          <w:rFonts w:ascii="Verdana" w:hAnsi="Verdana"/>
          <w:sz w:val="20"/>
          <w:szCs w:val="20"/>
        </w:rPr>
        <w:t xml:space="preserve"> </w:t>
      </w:r>
      <w:r w:rsidRPr="009C476B">
        <w:rPr>
          <w:rFonts w:ascii="Verdana" w:hAnsi="Verdana"/>
          <w:sz w:val="20"/>
          <w:szCs w:val="20"/>
        </w:rPr>
        <w:t>status og prognose er synliggjort. Det skal legges strengt skjønn til grunn ved avskriving på dette grunnlaget.</w:t>
      </w:r>
    </w:p>
    <w:p w:rsidR="00E704F4" w:rsidRPr="009C476B" w:rsidRDefault="00E704F4" w:rsidP="008C477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>Unntak for beløpsbegrensningen er saker der:</w:t>
      </w:r>
    </w:p>
    <w:p w:rsidR="00E704F4" w:rsidRPr="009C476B" w:rsidRDefault="00E704F4" w:rsidP="008C477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lastRenderedPageBreak/>
        <w:t>låntaker har emigrert</w:t>
      </w:r>
    </w:p>
    <w:p w:rsidR="00E704F4" w:rsidRPr="009C476B" w:rsidRDefault="00E704F4" w:rsidP="008C477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>låntaker er død</w:t>
      </w:r>
    </w:p>
    <w:p w:rsidR="00E704F4" w:rsidRPr="009C476B" w:rsidRDefault="00E704F4" w:rsidP="008C477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>det vurderes nødvendig at låntaker får bo i boligen, f.eks. på grunn av en</w:t>
      </w:r>
    </w:p>
    <w:p w:rsidR="00E704F4" w:rsidRPr="009C476B" w:rsidRDefault="00E704F4" w:rsidP="008C477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>funksjonshemming</w:t>
      </w:r>
    </w:p>
    <w:p w:rsidR="00E704F4" w:rsidRPr="009C476B" w:rsidRDefault="00E704F4" w:rsidP="008C477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E704F4" w:rsidRPr="009C476B" w:rsidRDefault="00E704F4" w:rsidP="008C477A">
      <w:pPr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sz w:val="20"/>
          <w:szCs w:val="20"/>
        </w:rPr>
      </w:pPr>
      <w:r w:rsidRPr="009C476B">
        <w:rPr>
          <w:rFonts w:ascii="Verdana" w:hAnsi="Verdana"/>
          <w:i/>
          <w:iCs/>
          <w:sz w:val="20"/>
          <w:szCs w:val="20"/>
        </w:rPr>
        <w:t>Sosiallån</w:t>
      </w:r>
    </w:p>
    <w:p w:rsidR="00E704F4" w:rsidRPr="009C476B" w:rsidRDefault="00E704F4" w:rsidP="008C477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>Hovedregel er at sakene sendes til innfordring for vurdering om inndrivelse eller avskriving.</w:t>
      </w:r>
    </w:p>
    <w:p w:rsidR="00E704F4" w:rsidRPr="009C476B" w:rsidRDefault="00E704F4" w:rsidP="008C477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E704F4" w:rsidRPr="008C477A" w:rsidRDefault="00E704F4" w:rsidP="008C477A">
      <w:pPr>
        <w:pStyle w:val="Undertittel"/>
        <w:spacing w:after="0"/>
        <w:rPr>
          <w:b/>
          <w:sz w:val="24"/>
        </w:rPr>
      </w:pPr>
      <w:bookmarkStart w:id="6" w:name="_Toc58936277"/>
      <w:r w:rsidRPr="008C477A">
        <w:rPr>
          <w:b/>
          <w:sz w:val="24"/>
        </w:rPr>
        <w:t>Regler for saker som kan avskrives før tyngre innfordring iverksettes</w:t>
      </w:r>
      <w:bookmarkEnd w:id="6"/>
    </w:p>
    <w:p w:rsidR="00E704F4" w:rsidRPr="009C476B" w:rsidRDefault="00E704F4" w:rsidP="008C477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>Avskriving kan skje:</w:t>
      </w:r>
    </w:p>
    <w:p w:rsidR="00E704F4" w:rsidRPr="009C476B" w:rsidRDefault="00E704F4" w:rsidP="008C477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>I forbindelse med forhandlinger ved utenomrettslige gjeldsforhandlinger</w:t>
      </w:r>
    </w:p>
    <w:p w:rsidR="00E704F4" w:rsidRPr="009C476B" w:rsidRDefault="00E704F4" w:rsidP="008C477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>Låntaker er varig ute av stand til å betjene lånet</w:t>
      </w:r>
    </w:p>
    <w:p w:rsidR="00E704F4" w:rsidRPr="009C476B" w:rsidRDefault="00E704F4" w:rsidP="008C477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>Når sosiale vurderinger i henhold til lov om sosiale tjenester tilsier dette</w:t>
      </w:r>
    </w:p>
    <w:p w:rsidR="00E704F4" w:rsidRPr="009C476B" w:rsidRDefault="00E704F4" w:rsidP="008C477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>Saker under gjeldsordningsloven der namsretten har avsagt en kjennelse</w:t>
      </w:r>
    </w:p>
    <w:p w:rsidR="00E704F4" w:rsidRPr="009C476B" w:rsidRDefault="00E704F4" w:rsidP="008C477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>Avtaler med skyldner om delvis sletting av gjeld</w:t>
      </w:r>
    </w:p>
    <w:p w:rsidR="00E704F4" w:rsidRPr="009C476B" w:rsidRDefault="00E704F4" w:rsidP="008C477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>Andre saker hvor tyngre innfordring er forsøkt.</w:t>
      </w:r>
    </w:p>
    <w:p w:rsidR="00E704F4" w:rsidRPr="009C476B" w:rsidRDefault="00E704F4" w:rsidP="008C477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E704F4" w:rsidRPr="008C477A" w:rsidRDefault="00E704F4" w:rsidP="008C477A">
      <w:pPr>
        <w:pStyle w:val="Undertittel"/>
        <w:spacing w:after="0"/>
        <w:rPr>
          <w:b/>
          <w:sz w:val="24"/>
        </w:rPr>
      </w:pPr>
      <w:bookmarkStart w:id="7" w:name="_Toc58936278"/>
      <w:r w:rsidRPr="008C477A">
        <w:rPr>
          <w:b/>
          <w:sz w:val="24"/>
        </w:rPr>
        <w:t>Regler for saker som kan avskrives etter innfordring</w:t>
      </w:r>
      <w:bookmarkEnd w:id="7"/>
    </w:p>
    <w:p w:rsidR="00E704F4" w:rsidRPr="009C476B" w:rsidRDefault="00E704F4" w:rsidP="008C477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>Avskriving kan skje:</w:t>
      </w:r>
    </w:p>
    <w:p w:rsidR="00E704F4" w:rsidRPr="009C476B" w:rsidRDefault="00E704F4" w:rsidP="008C477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>Etter samme regler som for de fire første prikkpunktene ovenfor</w:t>
      </w:r>
    </w:p>
    <w:p w:rsidR="00E704F4" w:rsidRPr="009C476B" w:rsidRDefault="00E704F4" w:rsidP="008C477A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>Det kan inngås nedbetalingsavtaler med låntaker. Overholdes ikke avtalene forfaller hele lånet til betaling. Det vurderes om det er grunnlag for å gjennomføre en dekning av kravet gjennom namsmannen. Om dette ikke er tilfelle må hele lånebeløpet avskrives</w:t>
      </w:r>
    </w:p>
    <w:p w:rsidR="00EC59CC" w:rsidRPr="009C476B" w:rsidRDefault="00EC59CC" w:rsidP="008C477A">
      <w:pPr>
        <w:spacing w:after="0" w:line="259" w:lineRule="auto"/>
        <w:rPr>
          <w:rFonts w:ascii="Verdana" w:hAnsi="Verdana"/>
          <w:sz w:val="20"/>
          <w:szCs w:val="20"/>
        </w:rPr>
      </w:pPr>
    </w:p>
    <w:p w:rsidR="00E704F4" w:rsidRPr="008C477A" w:rsidRDefault="00E704F4" w:rsidP="008C477A">
      <w:pPr>
        <w:pStyle w:val="Undertittel"/>
        <w:spacing w:after="0"/>
        <w:rPr>
          <w:b/>
          <w:caps/>
          <w:sz w:val="24"/>
        </w:rPr>
      </w:pPr>
      <w:bookmarkStart w:id="8" w:name="_Toc58936279"/>
      <w:r w:rsidRPr="008C477A">
        <w:rPr>
          <w:b/>
          <w:sz w:val="24"/>
        </w:rPr>
        <w:t>Regelverk</w:t>
      </w:r>
      <w:bookmarkEnd w:id="8"/>
    </w:p>
    <w:p w:rsidR="00E704F4" w:rsidRPr="009C476B" w:rsidRDefault="00811065" w:rsidP="008C477A">
      <w:pPr>
        <w:autoSpaceDE w:val="0"/>
        <w:autoSpaceDN w:val="0"/>
        <w:adjustRightInd w:val="0"/>
        <w:spacing w:after="0" w:line="240" w:lineRule="auto"/>
        <w:rPr>
          <w:rStyle w:val="Hyperkobling"/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fldChar w:fldCharType="begin"/>
      </w:r>
      <w:r w:rsidRPr="009C476B">
        <w:rPr>
          <w:rFonts w:ascii="Verdana" w:hAnsi="Verdana"/>
          <w:sz w:val="20"/>
          <w:szCs w:val="20"/>
        </w:rPr>
        <w:instrText xml:space="preserve"> HYPERLINK "https://lovdata.no/forskrift/2019-06-07-714/§3-2" </w:instrText>
      </w:r>
      <w:r w:rsidRPr="009C476B">
        <w:rPr>
          <w:rFonts w:ascii="Verdana" w:hAnsi="Verdana"/>
          <w:sz w:val="20"/>
          <w:szCs w:val="20"/>
        </w:rPr>
        <w:fldChar w:fldCharType="separate"/>
      </w:r>
      <w:r w:rsidR="00E704F4" w:rsidRPr="009C476B">
        <w:rPr>
          <w:rStyle w:val="Hyperkobling"/>
          <w:rFonts w:ascii="Verdana" w:hAnsi="Verdana"/>
          <w:sz w:val="20"/>
          <w:szCs w:val="20"/>
        </w:rPr>
        <w:t>Forskrift om økonomiplan, årsbudsjett, årsregnskap og årsberetning for kommuner og</w:t>
      </w:r>
    </w:p>
    <w:p w:rsidR="00E704F4" w:rsidRPr="009C476B" w:rsidRDefault="00E704F4" w:rsidP="008C477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Style w:val="Hyperkobling"/>
          <w:rFonts w:ascii="Verdana" w:hAnsi="Verdana"/>
          <w:sz w:val="20"/>
          <w:szCs w:val="20"/>
        </w:rPr>
        <w:t>fylkeskommuner mv. § 3-2, 1. ledd og § 3-3, 1. ledd regulerer nedskrivningsplikten (tap på utlån/fordringer klassifisert som anleggsmidler og omløpsmidler</w:t>
      </w:r>
      <w:r w:rsidR="00811065" w:rsidRPr="009C476B">
        <w:rPr>
          <w:rFonts w:ascii="Verdana" w:hAnsi="Verdana"/>
          <w:sz w:val="20"/>
          <w:szCs w:val="20"/>
        </w:rPr>
        <w:fldChar w:fldCharType="end"/>
      </w:r>
      <w:r w:rsidRPr="009C476B">
        <w:rPr>
          <w:rFonts w:ascii="Verdana" w:hAnsi="Verdana"/>
          <w:sz w:val="20"/>
          <w:szCs w:val="20"/>
        </w:rPr>
        <w:t>.</w:t>
      </w:r>
    </w:p>
    <w:p w:rsidR="00E704F4" w:rsidRPr="009C476B" w:rsidRDefault="00E704F4" w:rsidP="008C477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  <w:u w:val="single"/>
        </w:rPr>
      </w:pPr>
    </w:p>
    <w:p w:rsidR="00E704F4" w:rsidRPr="008C477A" w:rsidRDefault="00E704F4" w:rsidP="008C477A">
      <w:pPr>
        <w:pStyle w:val="Undertittel"/>
        <w:spacing w:after="0"/>
        <w:rPr>
          <w:b/>
          <w:sz w:val="24"/>
        </w:rPr>
      </w:pPr>
      <w:bookmarkStart w:id="9" w:name="_Toc58936280"/>
      <w:r w:rsidRPr="008C477A">
        <w:rPr>
          <w:b/>
          <w:sz w:val="24"/>
        </w:rPr>
        <w:t>Myndighet til å gjennomføre nedskrivning av tap</w:t>
      </w:r>
      <w:bookmarkEnd w:id="9"/>
    </w:p>
    <w:p w:rsidR="00E704F4" w:rsidRPr="009C476B" w:rsidRDefault="00E704F4" w:rsidP="008C477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 xml:space="preserve">Rådmannen har myndighet i enkeltsaker å ettergi kommunale pengekrav på </w:t>
      </w:r>
    </w:p>
    <w:p w:rsidR="00E704F4" w:rsidRPr="009C476B" w:rsidRDefault="00E704F4" w:rsidP="008C477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>inntil kr 100 000, når det er på det rene at det ikke kan inndrives. Myndigheten ligger ellers til formannskapet.</w:t>
      </w:r>
    </w:p>
    <w:p w:rsidR="00E704F4" w:rsidRPr="009C476B" w:rsidRDefault="00E704F4" w:rsidP="008C477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66197F" w:rsidRPr="008C477A" w:rsidRDefault="0066197F" w:rsidP="008C477A">
      <w:pPr>
        <w:pStyle w:val="Undertittel"/>
        <w:spacing w:after="0"/>
        <w:rPr>
          <w:b/>
          <w:sz w:val="24"/>
        </w:rPr>
      </w:pPr>
      <w:bookmarkStart w:id="10" w:name="_Toc58936281"/>
      <w:r w:rsidRPr="008C477A">
        <w:rPr>
          <w:b/>
          <w:sz w:val="24"/>
        </w:rPr>
        <w:t>Betalingsutsettelse</w:t>
      </w:r>
      <w:bookmarkEnd w:id="10"/>
    </w:p>
    <w:p w:rsidR="0066197F" w:rsidRPr="009C476B" w:rsidRDefault="0066197F" w:rsidP="008C477A">
      <w:pPr>
        <w:spacing w:after="0" w:line="240" w:lineRule="auto"/>
        <w:rPr>
          <w:rFonts w:ascii="Verdana" w:hAnsi="Verdana"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>Rådmannen får myndighet til å gi betalingsutsettelse i inntil 2 måneder.</w:t>
      </w:r>
    </w:p>
    <w:p w:rsidR="00E704F4" w:rsidRPr="009C476B" w:rsidRDefault="00E704F4" w:rsidP="0066197F">
      <w:pPr>
        <w:spacing w:after="0"/>
        <w:rPr>
          <w:rFonts w:ascii="Verdana" w:hAnsi="Verdana"/>
          <w:b/>
          <w:bCs/>
          <w:sz w:val="20"/>
          <w:szCs w:val="20"/>
        </w:rPr>
      </w:pPr>
    </w:p>
    <w:bookmarkEnd w:id="1"/>
    <w:p w:rsidR="00E704F4" w:rsidRPr="009C476B" w:rsidRDefault="00E704F4" w:rsidP="0066197F">
      <w:pPr>
        <w:spacing w:after="0"/>
        <w:rPr>
          <w:rFonts w:ascii="Verdana" w:eastAsiaTheme="majorEastAsia" w:hAnsi="Verdana" w:cstheme="majorBidi"/>
          <w:color w:val="2E74B5" w:themeColor="accent1" w:themeShade="BF"/>
          <w:sz w:val="20"/>
          <w:szCs w:val="20"/>
        </w:rPr>
      </w:pPr>
    </w:p>
    <w:p w:rsidR="00E704F4" w:rsidRPr="009C476B" w:rsidRDefault="00E704F4" w:rsidP="00AB1FEF">
      <w:pPr>
        <w:pStyle w:val="Overskrift1"/>
        <w:rPr>
          <w:rFonts w:ascii="Verdana" w:hAnsi="Verdana"/>
          <w:sz w:val="20"/>
          <w:szCs w:val="20"/>
        </w:rPr>
      </w:pPr>
    </w:p>
    <w:bookmarkEnd w:id="2"/>
    <w:p w:rsidR="005F16C1" w:rsidRPr="009C476B" w:rsidRDefault="00A078D8" w:rsidP="00E704F4">
      <w:pPr>
        <w:pStyle w:val="Overskrift1"/>
        <w:rPr>
          <w:rFonts w:ascii="Verdana" w:hAnsi="Verdana"/>
          <w:b/>
          <w:sz w:val="20"/>
          <w:szCs w:val="20"/>
        </w:rPr>
      </w:pPr>
      <w:r w:rsidRPr="009C476B">
        <w:rPr>
          <w:rFonts w:ascii="Verdana" w:hAnsi="Verdana"/>
          <w:sz w:val="20"/>
          <w:szCs w:val="20"/>
        </w:rPr>
        <w:t xml:space="preserve"> </w:t>
      </w:r>
    </w:p>
    <w:p w:rsidR="005F16C1" w:rsidRPr="009C476B" w:rsidRDefault="005F16C1" w:rsidP="00106213">
      <w:pPr>
        <w:rPr>
          <w:rFonts w:ascii="Verdana" w:hAnsi="Verdana"/>
          <w:sz w:val="20"/>
          <w:szCs w:val="20"/>
        </w:rPr>
      </w:pPr>
    </w:p>
    <w:sectPr w:rsidR="005F16C1" w:rsidRPr="009C47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D3" w:rsidRDefault="005667D3" w:rsidP="00106213">
      <w:pPr>
        <w:spacing w:after="0" w:line="240" w:lineRule="auto"/>
      </w:pPr>
      <w:r>
        <w:separator/>
      </w:r>
    </w:p>
  </w:endnote>
  <w:endnote w:type="continuationSeparator" w:id="0">
    <w:p w:rsidR="005667D3" w:rsidRDefault="005667D3" w:rsidP="0010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5196069"/>
      <w:docPartObj>
        <w:docPartGallery w:val="Page Numbers (Bottom of Page)"/>
        <w:docPartUnique/>
      </w:docPartObj>
    </w:sdtPr>
    <w:sdtEndPr/>
    <w:sdtContent>
      <w:p w:rsidR="00D954F1" w:rsidRDefault="00D954F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C5B">
          <w:rPr>
            <w:noProof/>
          </w:rPr>
          <w:t>1</w:t>
        </w:r>
        <w:r>
          <w:fldChar w:fldCharType="end"/>
        </w:r>
      </w:p>
    </w:sdtContent>
  </w:sdt>
  <w:p w:rsidR="00087DD0" w:rsidRPr="00087DD0" w:rsidRDefault="00087DD0">
    <w:pPr>
      <w:pStyle w:val="Bunn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D3" w:rsidRDefault="005667D3" w:rsidP="00106213">
      <w:pPr>
        <w:spacing w:after="0" w:line="240" w:lineRule="auto"/>
      </w:pPr>
      <w:r>
        <w:separator/>
      </w:r>
    </w:p>
  </w:footnote>
  <w:footnote w:type="continuationSeparator" w:id="0">
    <w:p w:rsidR="005667D3" w:rsidRDefault="005667D3" w:rsidP="00106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0942"/>
    <w:multiLevelType w:val="hybridMultilevel"/>
    <w:tmpl w:val="BE242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213A1"/>
    <w:multiLevelType w:val="hybridMultilevel"/>
    <w:tmpl w:val="F2868D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87482"/>
    <w:multiLevelType w:val="hybridMultilevel"/>
    <w:tmpl w:val="F4760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57C88"/>
    <w:multiLevelType w:val="hybridMultilevel"/>
    <w:tmpl w:val="447A8D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72300"/>
    <w:multiLevelType w:val="hybridMultilevel"/>
    <w:tmpl w:val="9376B33A"/>
    <w:lvl w:ilvl="0" w:tplc="C2A016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13"/>
    <w:rsid w:val="0007553D"/>
    <w:rsid w:val="00087DD0"/>
    <w:rsid w:val="00106213"/>
    <w:rsid w:val="003D1F21"/>
    <w:rsid w:val="005623BD"/>
    <w:rsid w:val="005667D3"/>
    <w:rsid w:val="005C12F2"/>
    <w:rsid w:val="005F16C1"/>
    <w:rsid w:val="00622A05"/>
    <w:rsid w:val="0066197F"/>
    <w:rsid w:val="006A317D"/>
    <w:rsid w:val="007A7E6B"/>
    <w:rsid w:val="00811065"/>
    <w:rsid w:val="0082164C"/>
    <w:rsid w:val="008C477A"/>
    <w:rsid w:val="009C476B"/>
    <w:rsid w:val="00A078D8"/>
    <w:rsid w:val="00AB1FEF"/>
    <w:rsid w:val="00C44C5B"/>
    <w:rsid w:val="00D57213"/>
    <w:rsid w:val="00D954F1"/>
    <w:rsid w:val="00DF2ED4"/>
    <w:rsid w:val="00E52B70"/>
    <w:rsid w:val="00E704F4"/>
    <w:rsid w:val="00EA4A03"/>
    <w:rsid w:val="00EC59CC"/>
    <w:rsid w:val="00F5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A44D8"/>
  <w15:docId w15:val="{27A83311-9708-4774-88EF-FEF7FE48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213"/>
    <w:pPr>
      <w:spacing w:after="180" w:line="274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6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1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61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062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06213"/>
    <w:pPr>
      <w:spacing w:before="480" w:line="264" w:lineRule="auto"/>
      <w:jc w:val="both"/>
      <w:outlineLvl w:val="9"/>
    </w:pPr>
    <w:rPr>
      <w:rFonts w:ascii="Verdana" w:hAnsi="Verdana"/>
      <w:bCs/>
      <w:color w:val="5B9BD5" w:themeColor="accent1"/>
      <w:spacing w:val="20"/>
      <w:szCs w:val="28"/>
    </w:rPr>
  </w:style>
  <w:style w:type="character" w:styleId="Hyperkobling">
    <w:name w:val="Hyperlink"/>
    <w:basedOn w:val="Standardskriftforavsnitt"/>
    <w:uiPriority w:val="99"/>
    <w:unhideWhenUsed/>
    <w:rsid w:val="00106213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106213"/>
    <w:rPr>
      <w:rFonts w:ascii="Verdana" w:hAnsi="Verdana"/>
      <w:b/>
      <w:color w:val="FA800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06213"/>
    <w:rPr>
      <w:rFonts w:ascii="Verdana" w:hAnsi="Verdana" w:cs="Times New Roman"/>
      <w:b/>
      <w:color w:val="FA8000"/>
      <w:sz w:val="56"/>
      <w:szCs w:val="56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06213"/>
    <w:rPr>
      <w:rFonts w:ascii="Verdana" w:hAnsi="Verdana"/>
      <w:color w:val="FA8000"/>
      <w:sz w:val="44"/>
      <w:szCs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06213"/>
    <w:rPr>
      <w:rFonts w:ascii="Verdana" w:hAnsi="Verdana" w:cs="Times New Roman"/>
      <w:color w:val="FA8000"/>
      <w:sz w:val="44"/>
      <w:szCs w:val="44"/>
      <w:lang w:eastAsia="nb-NO"/>
    </w:rPr>
  </w:style>
  <w:style w:type="paragraph" w:styleId="INNH1">
    <w:name w:val="toc 1"/>
    <w:basedOn w:val="Normal"/>
    <w:next w:val="Normal"/>
    <w:link w:val="INNH1Tegn"/>
    <w:autoRedefine/>
    <w:uiPriority w:val="39"/>
    <w:unhideWhenUsed/>
    <w:rsid w:val="00106213"/>
    <w:pPr>
      <w:tabs>
        <w:tab w:val="right" w:leader="dot" w:pos="9062"/>
      </w:tabs>
      <w:spacing w:after="100"/>
    </w:pPr>
    <w:rPr>
      <w:rFonts w:ascii="Verdana" w:hAnsi="Verdana"/>
      <w:noProof/>
      <w:color w:val="0063AD"/>
    </w:rPr>
  </w:style>
  <w:style w:type="paragraph" w:styleId="INNH2">
    <w:name w:val="toc 2"/>
    <w:basedOn w:val="Normal"/>
    <w:next w:val="Normal"/>
    <w:autoRedefine/>
    <w:uiPriority w:val="39"/>
    <w:unhideWhenUsed/>
    <w:rsid w:val="00106213"/>
    <w:pPr>
      <w:tabs>
        <w:tab w:val="right" w:leader="dot" w:pos="9062"/>
      </w:tabs>
      <w:spacing w:after="100"/>
      <w:ind w:left="240"/>
    </w:pPr>
    <w:rPr>
      <w:noProof/>
      <w:color w:val="0063AD"/>
    </w:rPr>
  </w:style>
  <w:style w:type="paragraph" w:styleId="INNH3">
    <w:name w:val="toc 3"/>
    <w:basedOn w:val="Normal"/>
    <w:next w:val="Normal"/>
    <w:autoRedefine/>
    <w:uiPriority w:val="39"/>
    <w:unhideWhenUsed/>
    <w:rsid w:val="00106213"/>
    <w:pPr>
      <w:tabs>
        <w:tab w:val="right" w:leader="dot" w:pos="9062"/>
      </w:tabs>
      <w:spacing w:after="100"/>
      <w:ind w:left="480"/>
    </w:pPr>
    <w:rPr>
      <w:noProof/>
      <w:color w:val="0063AD"/>
    </w:rPr>
  </w:style>
  <w:style w:type="character" w:customStyle="1" w:styleId="INNH1Tegn">
    <w:name w:val="INNH 1 Tegn"/>
    <w:basedOn w:val="Standardskriftforavsnitt"/>
    <w:link w:val="INNH1"/>
    <w:uiPriority w:val="39"/>
    <w:rsid w:val="00106213"/>
    <w:rPr>
      <w:rFonts w:ascii="Verdana" w:hAnsi="Verdana" w:cs="Times New Roman"/>
      <w:noProof/>
      <w:color w:val="0063AD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106213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10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6213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0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6213"/>
    <w:rPr>
      <w:rFonts w:ascii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16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table" w:styleId="Tabellrutenett">
    <w:name w:val="Table Grid"/>
    <w:basedOn w:val="Vanligtabell"/>
    <w:uiPriority w:val="39"/>
    <w:rsid w:val="005F16C1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87DD0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6619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54F1"/>
    <w:rPr>
      <w:rFonts w:ascii="Segoe UI" w:hAnsi="Segoe UI" w:cs="Segoe UI"/>
      <w:sz w:val="18"/>
      <w:szCs w:val="18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C47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C477A"/>
    <w:rPr>
      <w:rFonts w:ascii="Times New Roman" w:hAnsi="Times New Roman" w:cs="Times New Roman"/>
      <w:i/>
      <w:iCs/>
      <w:color w:val="5B9BD5" w:themeColor="accent1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19-06-07-714/&#167;3-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932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Robert Pedersen</dc:creator>
  <cp:keywords/>
  <dc:description/>
  <cp:lastModifiedBy>Frank Robert Pedersen</cp:lastModifiedBy>
  <cp:revision>6</cp:revision>
  <cp:lastPrinted>2020-12-07T12:54:00Z</cp:lastPrinted>
  <dcterms:created xsi:type="dcterms:W3CDTF">2020-12-07T12:54:00Z</dcterms:created>
  <dcterms:modified xsi:type="dcterms:W3CDTF">2021-03-03T12:44:00Z</dcterms:modified>
</cp:coreProperties>
</file>